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77A80" w14:textId="6DF710F7" w:rsidR="004A7909" w:rsidRPr="002419B4" w:rsidRDefault="003E3286" w:rsidP="00941330">
      <w:pPr>
        <w:pStyle w:val="Zhlav"/>
        <w:spacing w:before="480" w:after="480"/>
        <w:jc w:val="both"/>
        <w:rPr>
          <w:rFonts w:ascii="Ebrima" w:hAnsi="Ebrima"/>
          <w:sz w:val="20"/>
          <w:szCs w:val="20"/>
        </w:rPr>
      </w:pPr>
      <w:r w:rsidRPr="00755821">
        <w:rPr>
          <w:rFonts w:ascii="Ebrima" w:hAnsi="Ebrima"/>
        </w:rPr>
        <w:tab/>
      </w:r>
      <w:r w:rsidRPr="00755821">
        <w:rPr>
          <w:rFonts w:ascii="Ebrima" w:hAnsi="Ebrima"/>
        </w:rPr>
        <w:tab/>
      </w:r>
      <w:r w:rsidR="004A7909" w:rsidRPr="002419B4">
        <w:rPr>
          <w:rFonts w:ascii="Ebrima" w:hAnsi="Ebrima"/>
          <w:sz w:val="20"/>
          <w:szCs w:val="20"/>
        </w:rPr>
        <w:t xml:space="preserve">Dne </w:t>
      </w:r>
      <w:r w:rsidR="00C5154F" w:rsidRPr="002419B4">
        <w:rPr>
          <w:rFonts w:ascii="Ebrima" w:hAnsi="Ebrima"/>
          <w:sz w:val="20"/>
          <w:szCs w:val="20"/>
        </w:rPr>
        <w:t>23</w:t>
      </w:r>
      <w:r w:rsidR="00550D0F" w:rsidRPr="002419B4">
        <w:rPr>
          <w:rFonts w:ascii="Ebrima" w:hAnsi="Ebrima"/>
          <w:sz w:val="20"/>
          <w:szCs w:val="20"/>
        </w:rPr>
        <w:t>.</w:t>
      </w:r>
      <w:r w:rsidR="004A7909" w:rsidRPr="002419B4">
        <w:rPr>
          <w:rFonts w:ascii="Ebrima" w:hAnsi="Ebrima"/>
          <w:sz w:val="20"/>
          <w:szCs w:val="20"/>
        </w:rPr>
        <w:t xml:space="preserve"> </w:t>
      </w:r>
      <w:r w:rsidR="00C5154F" w:rsidRPr="002419B4">
        <w:rPr>
          <w:rFonts w:ascii="Ebrima" w:hAnsi="Ebrima"/>
          <w:sz w:val="20"/>
          <w:szCs w:val="20"/>
        </w:rPr>
        <w:t>října</w:t>
      </w:r>
      <w:r w:rsidR="004A7909" w:rsidRPr="002419B4">
        <w:rPr>
          <w:rFonts w:ascii="Ebrima" w:hAnsi="Ebrima"/>
          <w:sz w:val="20"/>
          <w:szCs w:val="20"/>
        </w:rPr>
        <w:t xml:space="preserve"> 20</w:t>
      </w:r>
      <w:r w:rsidR="002636B4" w:rsidRPr="002419B4">
        <w:rPr>
          <w:rFonts w:ascii="Ebrima" w:hAnsi="Ebrima"/>
          <w:sz w:val="20"/>
          <w:szCs w:val="20"/>
        </w:rPr>
        <w:t>2</w:t>
      </w:r>
      <w:r w:rsidR="00313A06" w:rsidRPr="002419B4">
        <w:rPr>
          <w:rFonts w:ascii="Ebrima" w:hAnsi="Ebrima"/>
          <w:sz w:val="20"/>
          <w:szCs w:val="20"/>
        </w:rPr>
        <w:t>5</w:t>
      </w:r>
      <w:r w:rsidR="004A7909" w:rsidRPr="002419B4">
        <w:rPr>
          <w:rFonts w:ascii="Ebrima" w:hAnsi="Ebrima"/>
          <w:sz w:val="20"/>
          <w:szCs w:val="20"/>
        </w:rPr>
        <w:t xml:space="preserve"> v Českých Budějovicích</w:t>
      </w:r>
    </w:p>
    <w:p w14:paraId="4575714F" w14:textId="2E10AA44" w:rsidR="00C5154F" w:rsidRDefault="00C5154F" w:rsidP="00313A06">
      <w:pPr>
        <w:spacing w:before="100" w:beforeAutospacing="1" w:after="100" w:afterAutospacing="1"/>
        <w:rPr>
          <w:rFonts w:ascii="Ebrima" w:eastAsia="Times New Roman" w:hAnsi="Ebrima" w:cs="Times New Roman"/>
          <w:b/>
          <w:bCs/>
          <w:lang w:eastAsia="cs-CZ"/>
        </w:rPr>
      </w:pPr>
      <w:r w:rsidRPr="00C5154F"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  <w:t>Nemocnice České Budějovice završila přesun všech oddělení z dolního areálu</w:t>
      </w:r>
      <w:r w:rsidRPr="00C5154F"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  <w:br/>
        <w:t>a symbolicky jej předala Jihočeskému kraji</w:t>
      </w:r>
    </w:p>
    <w:p w14:paraId="4C1B76A5" w14:textId="54A36916" w:rsidR="00C5154F" w:rsidRDefault="00C5154F" w:rsidP="00CB52AD">
      <w:pPr>
        <w:spacing w:before="100" w:beforeAutospacing="1" w:after="100" w:afterAutospacing="1"/>
        <w:jc w:val="both"/>
        <w:rPr>
          <w:rFonts w:ascii="Ebrima" w:eastAsia="Times New Roman" w:hAnsi="Ebrima" w:cs="Times New Roman"/>
          <w:b/>
          <w:bCs/>
          <w:lang w:eastAsia="cs-CZ"/>
        </w:rPr>
      </w:pPr>
      <w:r w:rsidRPr="00C5154F">
        <w:rPr>
          <w:rFonts w:ascii="Ebrima" w:eastAsia="Times New Roman" w:hAnsi="Ebrima" w:cs="Times New Roman"/>
          <w:b/>
          <w:bCs/>
          <w:lang w:eastAsia="cs-CZ"/>
        </w:rPr>
        <w:t xml:space="preserve">Nemocnice České Budějovice, a.s., úspěšně dokončila přesun všech zdravotnických provozů z dolního areálu do moderních prostor horního areálu. Uzavření dolního areálu po více než čtvrtstoletí provozu představuje významný milník v historii nemocnice </w:t>
      </w:r>
      <w:r>
        <w:rPr>
          <w:rFonts w:ascii="Ebrima" w:eastAsia="Times New Roman" w:hAnsi="Ebrima" w:cs="Times New Roman"/>
          <w:b/>
          <w:bCs/>
          <w:lang w:eastAsia="cs-CZ"/>
        </w:rPr>
        <w:br/>
      </w:r>
      <w:r w:rsidRPr="00C5154F">
        <w:rPr>
          <w:rFonts w:ascii="Ebrima" w:eastAsia="Times New Roman" w:hAnsi="Ebrima" w:cs="Times New Roman"/>
          <w:b/>
          <w:bCs/>
          <w:lang w:eastAsia="cs-CZ"/>
        </w:rPr>
        <w:t>a zároveň otevřelo cestu pro vznik nového centra sociálních služeb Jihočeského kraje.</w:t>
      </w:r>
    </w:p>
    <w:p w14:paraId="72F291D7" w14:textId="2A9C51CB" w:rsidR="00CB52AD" w:rsidRPr="00CB52AD" w:rsidRDefault="00CB52AD" w:rsidP="002419B4">
      <w:pPr>
        <w:spacing w:line="278" w:lineRule="auto"/>
        <w:jc w:val="both"/>
        <w:rPr>
          <w:rFonts w:ascii="Ebrima" w:eastAsia="Times New Roman" w:hAnsi="Ebrima" w:cs="Times New Roman"/>
          <w:sz w:val="20"/>
          <w:szCs w:val="20"/>
          <w:lang w:eastAsia="cs-CZ"/>
        </w:rPr>
      </w:pPr>
      <w:r w:rsidRPr="00CB52AD">
        <w:rPr>
          <w:rFonts w:ascii="Ebrima" w:eastAsia="Times New Roman" w:hAnsi="Ebrima" w:cs="Times New Roman"/>
          <w:sz w:val="20"/>
          <w:szCs w:val="20"/>
          <w:lang w:eastAsia="cs-CZ"/>
        </w:rPr>
        <w:t xml:space="preserve">V průběhu října se uskutečnilo dlouho očekávané stěhování posledních tří oddělení z dolního areálu. Oddělení otorinolaryngologie </w:t>
      </w:r>
      <w:r w:rsidR="002419B4" w:rsidRPr="00CB52AD">
        <w:rPr>
          <w:rFonts w:ascii="Ebrima" w:eastAsia="Times New Roman" w:hAnsi="Ebrima" w:cs="Times New Roman"/>
          <w:sz w:val="20"/>
          <w:szCs w:val="20"/>
          <w:lang w:eastAsia="cs-CZ"/>
        </w:rPr>
        <w:t xml:space="preserve">a chirurgie hlavy a krku (ORL), Oční oddělení </w:t>
      </w:r>
      <w:r w:rsidRPr="00CB52AD">
        <w:rPr>
          <w:rFonts w:ascii="Ebrima" w:eastAsia="Times New Roman" w:hAnsi="Ebrima" w:cs="Times New Roman"/>
          <w:sz w:val="20"/>
          <w:szCs w:val="20"/>
          <w:lang w:eastAsia="cs-CZ"/>
        </w:rPr>
        <w:t>i Ortopedické oddělení nyní pacienti najdou v pavilonu CH v horním areálu českobudějovické nemocnice. „</w:t>
      </w:r>
      <w:r w:rsidRPr="00CB52AD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>Děkuji všem našim zaměstnancům, kteří se na stěhování podíleli, zvládli to naprosto úžasně</w:t>
      </w:r>
      <w:r w:rsidRPr="00CB52AD">
        <w:rPr>
          <w:rFonts w:ascii="Ebrima" w:eastAsia="Times New Roman" w:hAnsi="Ebrima" w:cs="Times New Roman"/>
          <w:sz w:val="20"/>
          <w:szCs w:val="20"/>
          <w:lang w:eastAsia="cs-CZ"/>
        </w:rPr>
        <w:t>,“ uvedl předseda představenstva Nemocnice České Budějovice, a.s., MUDr. Ing. Michal Šnorek, Ph.D.</w:t>
      </w:r>
    </w:p>
    <w:p w14:paraId="5ED1E1B6" w14:textId="5092DD1D" w:rsidR="00CB52AD" w:rsidRPr="00CB52AD" w:rsidRDefault="00604EF1" w:rsidP="00CB52AD">
      <w:pPr>
        <w:spacing w:line="278" w:lineRule="auto"/>
        <w:jc w:val="both"/>
        <w:rPr>
          <w:rFonts w:ascii="Ebrima" w:eastAsia="Times New Roman" w:hAnsi="Ebrima" w:cs="Times New Roman"/>
          <w:sz w:val="20"/>
          <w:szCs w:val="20"/>
          <w:lang w:eastAsia="cs-CZ"/>
        </w:rPr>
      </w:pPr>
      <w:r w:rsidRPr="002419B4">
        <w:rPr>
          <w:rFonts w:ascii="Ebrima" w:eastAsia="Times New Roman" w:hAnsi="Ebrima" w:cs="Times New Roman"/>
          <w:sz w:val="20"/>
          <w:szCs w:val="20"/>
          <w:lang w:eastAsia="cs-CZ"/>
        </w:rPr>
        <w:t>Dne 22. října 2025 se do historie Nemocnice České Budějovice zapsal významný okamžik.</w:t>
      </w:r>
      <w:r w:rsidR="00CB52AD" w:rsidRPr="00CB52AD">
        <w:rPr>
          <w:rFonts w:ascii="Ebrima" w:eastAsia="Times New Roman" w:hAnsi="Ebrima" w:cs="Times New Roman"/>
          <w:sz w:val="20"/>
          <w:szCs w:val="20"/>
          <w:lang w:eastAsia="cs-CZ"/>
        </w:rPr>
        <w:t xml:space="preserve"> Symbolickým předáním svazku klíčů hejtmanovi Jihočeského kraje Martinu Kubovi nemocnice oficiálně vrátila prázdný dolní areál svému vlastníkovi – Jihočeskému kraji. Dolní areál využívala nemocnice od roku 1998, kdy </w:t>
      </w:r>
      <w:r w:rsidR="00AF607F">
        <w:rPr>
          <w:rFonts w:ascii="Ebrima" w:eastAsia="Times New Roman" w:hAnsi="Ebrima" w:cs="Times New Roman"/>
          <w:sz w:val="20"/>
          <w:szCs w:val="20"/>
          <w:lang w:eastAsia="cs-CZ"/>
        </w:rPr>
        <w:t xml:space="preserve">se sloučila s </w:t>
      </w:r>
      <w:r w:rsidR="00CB52AD" w:rsidRPr="00CB52AD">
        <w:rPr>
          <w:rFonts w:ascii="Ebrima" w:eastAsia="Times New Roman" w:hAnsi="Ebrima" w:cs="Times New Roman"/>
          <w:sz w:val="20"/>
          <w:szCs w:val="20"/>
          <w:lang w:eastAsia="cs-CZ"/>
        </w:rPr>
        <w:t>tehdejší Okresní nemocnic</w:t>
      </w:r>
      <w:r w:rsidR="00AF607F">
        <w:rPr>
          <w:rFonts w:ascii="Ebrima" w:eastAsia="Times New Roman" w:hAnsi="Ebrima" w:cs="Times New Roman"/>
          <w:sz w:val="20"/>
          <w:szCs w:val="20"/>
          <w:lang w:eastAsia="cs-CZ"/>
        </w:rPr>
        <w:t>í</w:t>
      </w:r>
      <w:r w:rsidR="00CB52AD" w:rsidRPr="00CB52AD">
        <w:rPr>
          <w:rFonts w:ascii="Ebrima" w:eastAsia="Times New Roman" w:hAnsi="Ebrima" w:cs="Times New Roman"/>
          <w:sz w:val="20"/>
          <w:szCs w:val="20"/>
          <w:lang w:eastAsia="cs-CZ"/>
        </w:rPr>
        <w:t xml:space="preserve"> České Budějovice. Ta zde působila od roku 1996, kdy město převzalo objekt po zrušené Vojenské nemocnici.</w:t>
      </w:r>
    </w:p>
    <w:p w14:paraId="69D18ED5" w14:textId="1A7D5923" w:rsidR="00CB52AD" w:rsidRPr="002419B4" w:rsidRDefault="00CB52AD" w:rsidP="00CB52AD">
      <w:pPr>
        <w:spacing w:line="278" w:lineRule="auto"/>
        <w:jc w:val="both"/>
        <w:rPr>
          <w:rFonts w:ascii="Ebrima" w:eastAsia="Times New Roman" w:hAnsi="Ebrima" w:cs="Times New Roman"/>
          <w:sz w:val="20"/>
          <w:szCs w:val="20"/>
          <w:lang w:eastAsia="cs-CZ"/>
        </w:rPr>
      </w:pPr>
      <w:r w:rsidRPr="00CB52AD">
        <w:rPr>
          <w:rFonts w:ascii="Ebrima" w:eastAsia="Times New Roman" w:hAnsi="Ebrima" w:cs="Times New Roman"/>
          <w:sz w:val="20"/>
          <w:szCs w:val="20"/>
          <w:lang w:eastAsia="cs-CZ"/>
        </w:rPr>
        <w:t xml:space="preserve">Historie areálu sahá až do konce 19. století. Původní zeměbranecké kasárny arcivévody Rainera byly postaveny v letech 1898–1899 staviteli Josefem </w:t>
      </w:r>
      <w:proofErr w:type="spellStart"/>
      <w:r w:rsidRPr="00CB52AD">
        <w:rPr>
          <w:rFonts w:ascii="Ebrima" w:eastAsia="Times New Roman" w:hAnsi="Ebrima" w:cs="Times New Roman"/>
          <w:sz w:val="20"/>
          <w:szCs w:val="20"/>
          <w:lang w:eastAsia="cs-CZ"/>
        </w:rPr>
        <w:t>Hauptvoglem</w:t>
      </w:r>
      <w:proofErr w:type="spellEnd"/>
      <w:r w:rsidRPr="00CB52AD">
        <w:rPr>
          <w:rFonts w:ascii="Ebrima" w:eastAsia="Times New Roman" w:hAnsi="Ebrima" w:cs="Times New Roman"/>
          <w:sz w:val="20"/>
          <w:szCs w:val="20"/>
          <w:lang w:eastAsia="cs-CZ"/>
        </w:rPr>
        <w:t xml:space="preserve"> a Josefem </w:t>
      </w:r>
      <w:proofErr w:type="spellStart"/>
      <w:r w:rsidRPr="00CB52AD">
        <w:rPr>
          <w:rFonts w:ascii="Ebrima" w:eastAsia="Times New Roman" w:hAnsi="Ebrima" w:cs="Times New Roman"/>
          <w:sz w:val="20"/>
          <w:szCs w:val="20"/>
          <w:lang w:eastAsia="cs-CZ"/>
        </w:rPr>
        <w:t>Prieslem</w:t>
      </w:r>
      <w:proofErr w:type="spellEnd"/>
      <w:r w:rsidRPr="00CB52AD">
        <w:rPr>
          <w:rFonts w:ascii="Ebrima" w:eastAsia="Times New Roman" w:hAnsi="Ebrima" w:cs="Times New Roman"/>
          <w:sz w:val="20"/>
          <w:szCs w:val="20"/>
          <w:lang w:eastAsia="cs-CZ"/>
        </w:rPr>
        <w:t>. Dominantami komplexu byly dvoupatrové budovy pro mužstvo a štáb, přičemž štábní budova si dodnes zachovala charakteristickou hodinovou věž. Během první světov</w:t>
      </w:r>
      <w:bookmarkStart w:id="0" w:name="_GoBack"/>
      <w:bookmarkEnd w:id="0"/>
      <w:r w:rsidRPr="00CB52AD">
        <w:rPr>
          <w:rFonts w:ascii="Ebrima" w:eastAsia="Times New Roman" w:hAnsi="Ebrima" w:cs="Times New Roman"/>
          <w:sz w:val="20"/>
          <w:szCs w:val="20"/>
          <w:lang w:eastAsia="cs-CZ"/>
        </w:rPr>
        <w:t>é války byly kasárny využívány pro špitální účely</w:t>
      </w:r>
      <w:r w:rsidR="00AF607F">
        <w:rPr>
          <w:rFonts w:ascii="Ebrima" w:eastAsia="Times New Roman" w:hAnsi="Ebrima" w:cs="Times New Roman"/>
          <w:sz w:val="20"/>
          <w:szCs w:val="20"/>
          <w:lang w:eastAsia="cs-CZ"/>
        </w:rPr>
        <w:t>.</w:t>
      </w:r>
    </w:p>
    <w:p w14:paraId="622B0902" w14:textId="253998A9" w:rsidR="00CB52AD" w:rsidRPr="002419B4" w:rsidRDefault="00CB52AD" w:rsidP="00CB52AD">
      <w:pPr>
        <w:spacing w:line="278" w:lineRule="auto"/>
        <w:jc w:val="both"/>
        <w:rPr>
          <w:rFonts w:ascii="Ebrima" w:eastAsia="Times New Roman" w:hAnsi="Ebrima" w:cs="Times New Roman"/>
          <w:sz w:val="20"/>
          <w:szCs w:val="20"/>
          <w:lang w:eastAsia="cs-CZ"/>
        </w:rPr>
      </w:pPr>
      <w:r w:rsidRPr="002419B4">
        <w:rPr>
          <w:rFonts w:ascii="Ebrima" w:eastAsia="Times New Roman" w:hAnsi="Ebrima" w:cs="Times New Roman"/>
          <w:sz w:val="20"/>
          <w:szCs w:val="20"/>
          <w:lang w:eastAsia="cs-CZ"/>
        </w:rPr>
        <w:t>P</w:t>
      </w:r>
      <w:r w:rsidRPr="00CB52AD">
        <w:rPr>
          <w:rFonts w:ascii="Ebrima" w:eastAsia="Times New Roman" w:hAnsi="Ebrima" w:cs="Times New Roman"/>
          <w:sz w:val="20"/>
          <w:szCs w:val="20"/>
          <w:lang w:eastAsia="cs-CZ"/>
        </w:rPr>
        <w:t xml:space="preserve">o roce 1920 objekt sloužil zdravotnickým potřebám armády jako Divizní nemocnice </w:t>
      </w:r>
      <w:r w:rsidRPr="002419B4">
        <w:rPr>
          <w:rFonts w:ascii="Ebrima" w:eastAsia="Times New Roman" w:hAnsi="Ebrima" w:cs="Times New Roman"/>
          <w:sz w:val="20"/>
          <w:szCs w:val="20"/>
          <w:lang w:eastAsia="cs-CZ"/>
        </w:rPr>
        <w:br/>
      </w:r>
      <w:r w:rsidRPr="00CB52AD">
        <w:rPr>
          <w:rFonts w:ascii="Ebrima" w:eastAsia="Times New Roman" w:hAnsi="Ebrima" w:cs="Times New Roman"/>
          <w:sz w:val="20"/>
          <w:szCs w:val="20"/>
          <w:lang w:eastAsia="cs-CZ"/>
        </w:rPr>
        <w:t xml:space="preserve">č. 5, později jako Okruhová vojenská nemocnice a od roku 1958 jako 4. armádní nemocnice. Slavnostní otevření moderního chirurgického pavilonu proběhlo 5. května 1981. </w:t>
      </w:r>
    </w:p>
    <w:p w14:paraId="34CCDFA8" w14:textId="27617DFD" w:rsidR="00CB52AD" w:rsidRPr="00CB52AD" w:rsidRDefault="00CB52AD" w:rsidP="00CB52AD">
      <w:pPr>
        <w:spacing w:line="278" w:lineRule="auto"/>
        <w:jc w:val="both"/>
        <w:rPr>
          <w:rFonts w:ascii="Ebrima" w:eastAsia="Times New Roman" w:hAnsi="Ebrima" w:cs="Times New Roman"/>
          <w:sz w:val="20"/>
          <w:szCs w:val="20"/>
          <w:lang w:eastAsia="cs-CZ"/>
        </w:rPr>
      </w:pPr>
      <w:r w:rsidRPr="00CB52AD">
        <w:rPr>
          <w:rFonts w:ascii="Ebrima" w:eastAsia="Times New Roman" w:hAnsi="Ebrima" w:cs="Times New Roman"/>
          <w:sz w:val="20"/>
          <w:szCs w:val="20"/>
          <w:lang w:eastAsia="cs-CZ"/>
        </w:rPr>
        <w:t>Vojenská nemocnice byla zrušena k 31. prosinci 1995 a o dva roky později převzala areál Nemocnice České Budějovice, která jej provozovala pod názvem dolní areál.</w:t>
      </w:r>
    </w:p>
    <w:p w14:paraId="2F80CE4D" w14:textId="60538473" w:rsidR="00CB52AD" w:rsidRPr="00CB52AD" w:rsidRDefault="00604EF1" w:rsidP="00CB52AD">
      <w:pPr>
        <w:spacing w:line="278" w:lineRule="auto"/>
        <w:jc w:val="both"/>
        <w:rPr>
          <w:rFonts w:ascii="Ebrima" w:eastAsia="Times New Roman" w:hAnsi="Ebrima" w:cs="Times New Roman"/>
          <w:lang w:eastAsia="cs-CZ"/>
        </w:rPr>
      </w:pPr>
      <w:r w:rsidRPr="002419B4">
        <w:rPr>
          <w:rFonts w:ascii="Ebrima" w:eastAsia="Times New Roman" w:hAnsi="Ebrima" w:cs="Times New Roman"/>
          <w:sz w:val="20"/>
          <w:szCs w:val="20"/>
          <w:lang w:eastAsia="cs-CZ"/>
        </w:rPr>
        <w:t>Ve stejný den</w:t>
      </w:r>
      <w:r w:rsidR="00AF607F">
        <w:rPr>
          <w:rFonts w:ascii="Ebrima" w:eastAsia="Times New Roman" w:hAnsi="Ebrima" w:cs="Times New Roman"/>
          <w:sz w:val="20"/>
          <w:szCs w:val="20"/>
          <w:lang w:eastAsia="cs-CZ"/>
        </w:rPr>
        <w:t xml:space="preserve">, tj. 22. října 2025, </w:t>
      </w:r>
      <w:r w:rsidRPr="002419B4">
        <w:rPr>
          <w:rFonts w:ascii="Ebrima" w:eastAsia="Times New Roman" w:hAnsi="Ebrima" w:cs="Times New Roman"/>
          <w:sz w:val="20"/>
          <w:szCs w:val="20"/>
          <w:lang w:eastAsia="cs-CZ"/>
        </w:rPr>
        <w:t xml:space="preserve">byla symbolickým poklepáním </w:t>
      </w:r>
      <w:r w:rsidR="00CB52AD" w:rsidRPr="002419B4">
        <w:rPr>
          <w:rFonts w:ascii="Ebrima" w:eastAsia="Times New Roman" w:hAnsi="Ebrima" w:cs="Times New Roman"/>
          <w:sz w:val="20"/>
          <w:szCs w:val="20"/>
          <w:lang w:eastAsia="cs-CZ"/>
        </w:rPr>
        <w:t xml:space="preserve">základního kamene zahájena přestavba bývalého dolního areálu českobudějovické nemocnice. </w:t>
      </w:r>
      <w:r w:rsidR="00CB52AD" w:rsidRPr="00CB52AD">
        <w:rPr>
          <w:rFonts w:ascii="Ebrima" w:eastAsia="Times New Roman" w:hAnsi="Ebrima" w:cs="Times New Roman"/>
          <w:sz w:val="20"/>
          <w:szCs w:val="20"/>
          <w:lang w:eastAsia="cs-CZ"/>
        </w:rPr>
        <w:t xml:space="preserve">Na </w:t>
      </w:r>
      <w:r w:rsidR="00007946" w:rsidRPr="002419B4">
        <w:rPr>
          <w:rFonts w:ascii="Ebrima" w:eastAsia="Times New Roman" w:hAnsi="Ebrima" w:cs="Times New Roman"/>
          <w:sz w:val="20"/>
          <w:szCs w:val="20"/>
          <w:lang w:eastAsia="cs-CZ"/>
        </w:rPr>
        <w:t>tomto místě</w:t>
      </w:r>
      <w:r w:rsidR="00CB52AD" w:rsidRPr="00CB52AD">
        <w:rPr>
          <w:rFonts w:ascii="Ebrima" w:eastAsia="Times New Roman" w:hAnsi="Ebrima" w:cs="Times New Roman"/>
          <w:sz w:val="20"/>
          <w:szCs w:val="20"/>
          <w:lang w:eastAsia="cs-CZ"/>
        </w:rPr>
        <w:t xml:space="preserve"> vznikne moderní centrum sociálních služeb Nová Linecká čtvrť, které nabídne špičkové zázemí pro seniory, osoby se zdravotním postižením a </w:t>
      </w:r>
      <w:r w:rsidR="005D594D" w:rsidRPr="002419B4">
        <w:rPr>
          <w:rFonts w:ascii="Ebrima" w:eastAsia="Times New Roman" w:hAnsi="Ebrima" w:cs="Times New Roman"/>
          <w:sz w:val="20"/>
          <w:szCs w:val="20"/>
          <w:lang w:eastAsia="cs-CZ"/>
        </w:rPr>
        <w:t xml:space="preserve">také </w:t>
      </w:r>
      <w:r w:rsidR="00CB52AD" w:rsidRPr="00CB52AD">
        <w:rPr>
          <w:rFonts w:ascii="Ebrima" w:eastAsia="Times New Roman" w:hAnsi="Ebrima" w:cs="Times New Roman"/>
          <w:sz w:val="20"/>
          <w:szCs w:val="20"/>
          <w:lang w:eastAsia="cs-CZ"/>
        </w:rPr>
        <w:t>byty pro zástupce klíčových profesí. „</w:t>
      </w:r>
      <w:r w:rsidR="00CB52AD" w:rsidRPr="00CB52AD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 xml:space="preserve">Začíná nová kapitola tohoto místa. Těší mě, že </w:t>
      </w:r>
      <w:r w:rsidR="00AF607F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br/>
      </w:r>
      <w:r w:rsidR="00CB52AD" w:rsidRPr="00CB52AD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>i nadále bude areál sloužit pacientům a občanům, kteří potřebují péči na zdravotně-sociálním pomezí</w:t>
      </w:r>
      <w:r w:rsidR="00CB52AD" w:rsidRPr="00CB52AD">
        <w:rPr>
          <w:rFonts w:ascii="Ebrima" w:eastAsia="Times New Roman" w:hAnsi="Ebrima" w:cs="Times New Roman"/>
          <w:sz w:val="20"/>
          <w:szCs w:val="20"/>
          <w:lang w:eastAsia="cs-CZ"/>
        </w:rPr>
        <w:t>,“ dodal MUDr. Ing. Michal Šnorek, Ph.D.</w:t>
      </w:r>
    </w:p>
    <w:sectPr w:rsidR="00CB52AD" w:rsidRPr="00CB52AD" w:rsidSect="002419B4">
      <w:headerReference w:type="default" r:id="rId8"/>
      <w:footerReference w:type="default" r:id="rId9"/>
      <w:pgSz w:w="11906" w:h="16838"/>
      <w:pgMar w:top="0" w:right="1418" w:bottom="0" w:left="124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3B762" w14:textId="77777777" w:rsidR="0065385D" w:rsidRDefault="0065385D">
      <w:pPr>
        <w:spacing w:after="0" w:line="240" w:lineRule="auto"/>
      </w:pPr>
      <w:r>
        <w:separator/>
      </w:r>
    </w:p>
  </w:endnote>
  <w:endnote w:type="continuationSeparator" w:id="0">
    <w:p w14:paraId="13232535" w14:textId="77777777" w:rsidR="0065385D" w:rsidRDefault="0065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3F603" w14:textId="77777777" w:rsidR="00490D76" w:rsidRDefault="00725502">
    <w:pPr>
      <w:pStyle w:val="Zpat"/>
      <w:spacing w:before="240"/>
      <w:rPr>
        <w:b/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045A040" wp14:editId="1941FEC5">
          <wp:simplePos x="0" y="0"/>
          <wp:positionH relativeFrom="column">
            <wp:posOffset>4534535</wp:posOffset>
          </wp:positionH>
          <wp:positionV relativeFrom="paragraph">
            <wp:posOffset>47625</wp:posOffset>
          </wp:positionV>
          <wp:extent cx="1615440" cy="487680"/>
          <wp:effectExtent l="0" t="0" r="3810" b="7620"/>
          <wp:wrapSquare wrapText="bothSides"/>
          <wp:docPr id="147748863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62026" name="Obrázek 7496620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44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832">
      <w:rPr>
        <w:b/>
        <w:sz w:val="20"/>
      </w:rPr>
      <w:t>Kontakt pro novináře:</w:t>
    </w:r>
    <w:r w:rsidRPr="00725502">
      <w:rPr>
        <w:noProof/>
        <w:sz w:val="20"/>
      </w:rPr>
      <w:t xml:space="preserve"> </w:t>
    </w:r>
  </w:p>
  <w:p w14:paraId="0551C4A2" w14:textId="6EEA4B9C" w:rsidR="00490D76" w:rsidRDefault="00AF0162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</w:t>
    </w:r>
    <w:r w:rsidR="00925832">
      <w:rPr>
        <w:sz w:val="20"/>
      </w:rPr>
      <w:t>. Iva Nováková, MBA</w:t>
    </w:r>
  </w:p>
  <w:p w14:paraId="2CF131C7" w14:textId="77777777" w:rsidR="00490D76" w:rsidRDefault="00925832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3C0F583D" w14:textId="77777777" w:rsidR="00490D76" w:rsidRDefault="00925832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9E25D" w14:textId="77777777" w:rsidR="0065385D" w:rsidRDefault="0065385D">
      <w:pPr>
        <w:spacing w:after="0" w:line="240" w:lineRule="auto"/>
      </w:pPr>
      <w:r>
        <w:separator/>
      </w:r>
    </w:p>
  </w:footnote>
  <w:footnote w:type="continuationSeparator" w:id="0">
    <w:p w14:paraId="09EFE576" w14:textId="77777777" w:rsidR="0065385D" w:rsidRDefault="0065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C258D" w14:textId="724C12C6" w:rsidR="00490D76" w:rsidRDefault="00925832" w:rsidP="00725502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807A3"/>
    <w:multiLevelType w:val="hybridMultilevel"/>
    <w:tmpl w:val="33EA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77352"/>
    <w:multiLevelType w:val="hybridMultilevel"/>
    <w:tmpl w:val="A3F44900"/>
    <w:lvl w:ilvl="0" w:tplc="F6C68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633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81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86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4C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28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28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05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0F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F4B34DC"/>
    <w:multiLevelType w:val="hybridMultilevel"/>
    <w:tmpl w:val="2CB4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76"/>
    <w:rsid w:val="00007946"/>
    <w:rsid w:val="0004366E"/>
    <w:rsid w:val="0005646C"/>
    <w:rsid w:val="00061A42"/>
    <w:rsid w:val="00071102"/>
    <w:rsid w:val="000A5956"/>
    <w:rsid w:val="000B0EA8"/>
    <w:rsid w:val="000C27D0"/>
    <w:rsid w:val="000D4D23"/>
    <w:rsid w:val="001025A6"/>
    <w:rsid w:val="001041D2"/>
    <w:rsid w:val="00104BED"/>
    <w:rsid w:val="00127A8D"/>
    <w:rsid w:val="0013021C"/>
    <w:rsid w:val="00146C6E"/>
    <w:rsid w:val="0016178D"/>
    <w:rsid w:val="001A6F9D"/>
    <w:rsid w:val="001D4D0C"/>
    <w:rsid w:val="001D7A22"/>
    <w:rsid w:val="001E0007"/>
    <w:rsid w:val="002160F3"/>
    <w:rsid w:val="002419B4"/>
    <w:rsid w:val="00254A24"/>
    <w:rsid w:val="002636B4"/>
    <w:rsid w:val="00277C87"/>
    <w:rsid w:val="002E0549"/>
    <w:rsid w:val="002E504D"/>
    <w:rsid w:val="002E62C0"/>
    <w:rsid w:val="002F3B5D"/>
    <w:rsid w:val="002F453F"/>
    <w:rsid w:val="00303786"/>
    <w:rsid w:val="00313A06"/>
    <w:rsid w:val="00332E84"/>
    <w:rsid w:val="00363E95"/>
    <w:rsid w:val="003B0DA4"/>
    <w:rsid w:val="003E3286"/>
    <w:rsid w:val="003F2457"/>
    <w:rsid w:val="004019F4"/>
    <w:rsid w:val="00401E17"/>
    <w:rsid w:val="00432457"/>
    <w:rsid w:val="004369BF"/>
    <w:rsid w:val="004429A0"/>
    <w:rsid w:val="0045385A"/>
    <w:rsid w:val="00482688"/>
    <w:rsid w:val="0048517F"/>
    <w:rsid w:val="00490D76"/>
    <w:rsid w:val="0049613C"/>
    <w:rsid w:val="004A2745"/>
    <w:rsid w:val="004A7909"/>
    <w:rsid w:val="004B46C1"/>
    <w:rsid w:val="004B702E"/>
    <w:rsid w:val="004E5456"/>
    <w:rsid w:val="004F35B7"/>
    <w:rsid w:val="00501967"/>
    <w:rsid w:val="00536BEC"/>
    <w:rsid w:val="00546D32"/>
    <w:rsid w:val="00550D0F"/>
    <w:rsid w:val="00584209"/>
    <w:rsid w:val="005D0206"/>
    <w:rsid w:val="005D594D"/>
    <w:rsid w:val="005E00C0"/>
    <w:rsid w:val="005E7B6E"/>
    <w:rsid w:val="00604EF1"/>
    <w:rsid w:val="00606B80"/>
    <w:rsid w:val="006120DE"/>
    <w:rsid w:val="00620318"/>
    <w:rsid w:val="00631729"/>
    <w:rsid w:val="0065385D"/>
    <w:rsid w:val="00654E26"/>
    <w:rsid w:val="006A7545"/>
    <w:rsid w:val="00702C8E"/>
    <w:rsid w:val="00725502"/>
    <w:rsid w:val="007330BB"/>
    <w:rsid w:val="007455E4"/>
    <w:rsid w:val="00752E5B"/>
    <w:rsid w:val="00755821"/>
    <w:rsid w:val="0076529F"/>
    <w:rsid w:val="007654CF"/>
    <w:rsid w:val="0076618E"/>
    <w:rsid w:val="00771AF1"/>
    <w:rsid w:val="00773779"/>
    <w:rsid w:val="00773CF4"/>
    <w:rsid w:val="00792C30"/>
    <w:rsid w:val="007D4D3F"/>
    <w:rsid w:val="007D6F70"/>
    <w:rsid w:val="007E0960"/>
    <w:rsid w:val="00805BA6"/>
    <w:rsid w:val="00806B64"/>
    <w:rsid w:val="00822060"/>
    <w:rsid w:val="00832047"/>
    <w:rsid w:val="0083252F"/>
    <w:rsid w:val="00864EFE"/>
    <w:rsid w:val="00874AC7"/>
    <w:rsid w:val="00882049"/>
    <w:rsid w:val="00884B28"/>
    <w:rsid w:val="008C2355"/>
    <w:rsid w:val="008E2F06"/>
    <w:rsid w:val="0090311D"/>
    <w:rsid w:val="009105DE"/>
    <w:rsid w:val="00911ED6"/>
    <w:rsid w:val="00925832"/>
    <w:rsid w:val="009261AB"/>
    <w:rsid w:val="00941330"/>
    <w:rsid w:val="009777C9"/>
    <w:rsid w:val="00996244"/>
    <w:rsid w:val="009B4401"/>
    <w:rsid w:val="009C0C43"/>
    <w:rsid w:val="009C253C"/>
    <w:rsid w:val="009D17F1"/>
    <w:rsid w:val="009E3CF2"/>
    <w:rsid w:val="009F3910"/>
    <w:rsid w:val="009F3EA0"/>
    <w:rsid w:val="00A0669D"/>
    <w:rsid w:val="00A54566"/>
    <w:rsid w:val="00A66852"/>
    <w:rsid w:val="00AF0162"/>
    <w:rsid w:val="00AF607F"/>
    <w:rsid w:val="00B03134"/>
    <w:rsid w:val="00B12E73"/>
    <w:rsid w:val="00B13CEE"/>
    <w:rsid w:val="00B16CEE"/>
    <w:rsid w:val="00B22018"/>
    <w:rsid w:val="00B2306C"/>
    <w:rsid w:val="00B254C7"/>
    <w:rsid w:val="00B2699A"/>
    <w:rsid w:val="00B5087F"/>
    <w:rsid w:val="00B51275"/>
    <w:rsid w:val="00B54B68"/>
    <w:rsid w:val="00B65584"/>
    <w:rsid w:val="00B91891"/>
    <w:rsid w:val="00BB3AE5"/>
    <w:rsid w:val="00BB67E3"/>
    <w:rsid w:val="00BC2AF4"/>
    <w:rsid w:val="00BD3F1D"/>
    <w:rsid w:val="00BE099F"/>
    <w:rsid w:val="00BE3ED4"/>
    <w:rsid w:val="00BE5372"/>
    <w:rsid w:val="00BF1220"/>
    <w:rsid w:val="00BF68FE"/>
    <w:rsid w:val="00C03BEE"/>
    <w:rsid w:val="00C061D7"/>
    <w:rsid w:val="00C5154F"/>
    <w:rsid w:val="00C66895"/>
    <w:rsid w:val="00C73180"/>
    <w:rsid w:val="00C97CCB"/>
    <w:rsid w:val="00CB52AD"/>
    <w:rsid w:val="00CD399F"/>
    <w:rsid w:val="00CE442F"/>
    <w:rsid w:val="00D14DE1"/>
    <w:rsid w:val="00D334AB"/>
    <w:rsid w:val="00D9028E"/>
    <w:rsid w:val="00D93AEA"/>
    <w:rsid w:val="00DB7871"/>
    <w:rsid w:val="00DC43EF"/>
    <w:rsid w:val="00DD33EB"/>
    <w:rsid w:val="00E55223"/>
    <w:rsid w:val="00E56E75"/>
    <w:rsid w:val="00E822E3"/>
    <w:rsid w:val="00E8544A"/>
    <w:rsid w:val="00ED330F"/>
    <w:rsid w:val="00F27510"/>
    <w:rsid w:val="00F3552D"/>
    <w:rsid w:val="00F753BE"/>
    <w:rsid w:val="00F837CC"/>
    <w:rsid w:val="00F91471"/>
    <w:rsid w:val="00F96D18"/>
    <w:rsid w:val="00FB0F39"/>
    <w:rsid w:val="00FC3DFC"/>
    <w:rsid w:val="00F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D5F8C3"/>
  <w15:docId w15:val="{7F7B253B-A6D6-49FF-90E5-8858661A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0D76"/>
  </w:style>
  <w:style w:type="paragraph" w:styleId="Nadpis1">
    <w:name w:val="heading 1"/>
    <w:basedOn w:val="Normln"/>
    <w:next w:val="Normln"/>
    <w:link w:val="Nadpis1Char"/>
    <w:uiPriority w:val="9"/>
    <w:qFormat/>
    <w:rsid w:val="00490D7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3A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D76"/>
  </w:style>
  <w:style w:type="paragraph" w:styleId="Zpat">
    <w:name w:val="footer"/>
    <w:basedOn w:val="Normln"/>
    <w:link w:val="Zpat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D76"/>
  </w:style>
  <w:style w:type="character" w:customStyle="1" w:styleId="Nadpis1Char">
    <w:name w:val="Nadpis 1 Char"/>
    <w:basedOn w:val="Standardnpsmoodstavce"/>
    <w:link w:val="Nadpis1"/>
    <w:uiPriority w:val="9"/>
    <w:rsid w:val="00490D7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490D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90D7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4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0D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0D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D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D7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E55223"/>
  </w:style>
  <w:style w:type="character" w:customStyle="1" w:styleId="Nadpis3Char">
    <w:name w:val="Nadpis 3 Char"/>
    <w:basedOn w:val="Standardnpsmoodstavce"/>
    <w:link w:val="Nadpis3"/>
    <w:uiPriority w:val="9"/>
    <w:semiHidden/>
    <w:rsid w:val="00313A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7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6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7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1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8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4E3A54-8164-4774-B8E6-A0F7D8E6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2349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 Matoušek</dc:creator>
  <cp:lastModifiedBy>Ing. Veronika Dubská</cp:lastModifiedBy>
  <cp:revision>2</cp:revision>
  <cp:lastPrinted>2019-04-05T09:47:00Z</cp:lastPrinted>
  <dcterms:created xsi:type="dcterms:W3CDTF">2025-10-23T06:55:00Z</dcterms:created>
  <dcterms:modified xsi:type="dcterms:W3CDTF">2025-10-23T06:55:00Z</dcterms:modified>
</cp:coreProperties>
</file>